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F60FA" w14:textId="77777777" w:rsidR="00503E88" w:rsidRDefault="00503E88">
      <w:pPr>
        <w:spacing w:line="360" w:lineRule="auto"/>
        <w:jc w:val="both"/>
        <w:sectPr w:rsidR="00503E88">
          <w:footerReference w:type="default" r:id="rId7"/>
          <w:pgSz w:w="11900" w:h="16840"/>
          <w:pgMar w:top="1600" w:right="1360" w:bottom="1440" w:left="1500" w:header="0" w:footer="1259" w:gutter="0"/>
          <w:cols w:space="720"/>
        </w:sectPr>
      </w:pPr>
    </w:p>
    <w:p w14:paraId="7F08147C" w14:textId="77777777" w:rsidR="00503E88" w:rsidRDefault="00503E88">
      <w:pPr>
        <w:pStyle w:val="a3"/>
        <w:ind w:left="0"/>
        <w:rPr>
          <w:sz w:val="20"/>
        </w:rPr>
      </w:pPr>
    </w:p>
    <w:p w14:paraId="038B6896" w14:textId="77777777" w:rsidR="00503E88" w:rsidRDefault="00496B24">
      <w:pPr>
        <w:pStyle w:val="a3"/>
        <w:spacing w:before="6"/>
        <w:ind w:left="0"/>
        <w:rPr>
          <w:sz w:val="43"/>
        </w:rPr>
      </w:pPr>
      <w:r>
        <w:br w:type="column"/>
      </w:r>
    </w:p>
    <w:p w14:paraId="1637E2F0" w14:textId="77777777" w:rsidR="00503E88" w:rsidRPr="00EB4FE2" w:rsidRDefault="00496B24">
      <w:pPr>
        <w:pStyle w:val="1"/>
        <w:rPr>
          <w:b/>
          <w:bCs/>
        </w:rPr>
      </w:pPr>
      <w:r w:rsidRPr="00EB4FE2">
        <w:rPr>
          <w:b/>
          <w:bCs/>
        </w:rPr>
        <w:t>企业经营财务指标参考标准</w:t>
      </w:r>
    </w:p>
    <w:p w14:paraId="7909DD9C" w14:textId="77777777" w:rsidR="00503E88" w:rsidRDefault="00503E88">
      <w:pPr>
        <w:sectPr w:rsidR="00503E88">
          <w:type w:val="continuous"/>
          <w:pgSz w:w="11900" w:h="16840"/>
          <w:pgMar w:top="1600" w:right="1360" w:bottom="1440" w:left="1500" w:header="720" w:footer="720" w:gutter="0"/>
          <w:cols w:num="2" w:space="720" w:equalWidth="0">
            <w:col w:w="999" w:space="936"/>
            <w:col w:w="7105"/>
          </w:cols>
        </w:sectPr>
      </w:pPr>
    </w:p>
    <w:p w14:paraId="0A87B45E" w14:textId="77777777" w:rsidR="00503E88" w:rsidRDefault="00503E88">
      <w:pPr>
        <w:pStyle w:val="a3"/>
        <w:ind w:left="0"/>
        <w:rPr>
          <w:sz w:val="20"/>
        </w:rPr>
      </w:pPr>
    </w:p>
    <w:p w14:paraId="131F3605" w14:textId="77777777" w:rsidR="00503E88" w:rsidRDefault="00503E88">
      <w:pPr>
        <w:pStyle w:val="a3"/>
        <w:spacing w:before="5"/>
        <w:ind w:left="0"/>
        <w:rPr>
          <w:sz w:val="26"/>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3261"/>
        <w:gridCol w:w="1275"/>
        <w:gridCol w:w="1276"/>
        <w:gridCol w:w="1701"/>
      </w:tblGrid>
      <w:tr w:rsidR="00503E88" w14:paraId="3AB4DF03" w14:textId="77777777">
        <w:trPr>
          <w:trHeight w:val="798"/>
        </w:trPr>
        <w:tc>
          <w:tcPr>
            <w:tcW w:w="1134" w:type="dxa"/>
          </w:tcPr>
          <w:p w14:paraId="2F681650" w14:textId="77777777" w:rsidR="00503E88" w:rsidRDefault="00503E88">
            <w:pPr>
              <w:pStyle w:val="TableParagraph"/>
              <w:spacing w:before="10"/>
              <w:rPr>
                <w:sz w:val="20"/>
              </w:rPr>
            </w:pPr>
          </w:p>
          <w:p w14:paraId="472CD341" w14:textId="77777777" w:rsidR="00503E88" w:rsidRDefault="00496B24">
            <w:pPr>
              <w:pStyle w:val="TableParagraph"/>
              <w:ind w:left="106"/>
              <w:rPr>
                <w:sz w:val="24"/>
              </w:rPr>
            </w:pPr>
            <w:r>
              <w:rPr>
                <w:sz w:val="24"/>
              </w:rPr>
              <w:t>序号</w:t>
            </w:r>
          </w:p>
        </w:tc>
        <w:tc>
          <w:tcPr>
            <w:tcW w:w="3261" w:type="dxa"/>
          </w:tcPr>
          <w:p w14:paraId="1DB13670" w14:textId="77777777" w:rsidR="00503E88" w:rsidRDefault="00503E88">
            <w:pPr>
              <w:pStyle w:val="TableParagraph"/>
              <w:spacing w:before="10"/>
              <w:rPr>
                <w:sz w:val="20"/>
              </w:rPr>
            </w:pPr>
          </w:p>
          <w:p w14:paraId="328227A7" w14:textId="77777777" w:rsidR="00503E88" w:rsidRDefault="00496B24">
            <w:pPr>
              <w:pStyle w:val="TableParagraph"/>
              <w:ind w:left="108"/>
              <w:rPr>
                <w:sz w:val="24"/>
              </w:rPr>
            </w:pPr>
            <w:r>
              <w:rPr>
                <w:sz w:val="24"/>
              </w:rPr>
              <w:t>国民经济行业分类</w:t>
            </w:r>
          </w:p>
        </w:tc>
        <w:tc>
          <w:tcPr>
            <w:tcW w:w="1275" w:type="dxa"/>
          </w:tcPr>
          <w:p w14:paraId="4637F7A7" w14:textId="77777777" w:rsidR="00503E88" w:rsidRDefault="00496B24">
            <w:pPr>
              <w:pStyle w:val="TableParagraph"/>
              <w:spacing w:before="87"/>
              <w:ind w:left="108"/>
              <w:rPr>
                <w:sz w:val="24"/>
              </w:rPr>
            </w:pPr>
            <w:r>
              <w:rPr>
                <w:sz w:val="24"/>
              </w:rPr>
              <w:t>资产总额</w:t>
            </w:r>
          </w:p>
          <w:p w14:paraId="6C248E2B" w14:textId="77777777" w:rsidR="00503E88" w:rsidRDefault="00496B24">
            <w:pPr>
              <w:pStyle w:val="TableParagraph"/>
              <w:spacing w:before="52"/>
              <w:ind w:left="108"/>
              <w:rPr>
                <w:sz w:val="24"/>
              </w:rPr>
            </w:pPr>
            <w:r>
              <w:rPr>
                <w:sz w:val="24"/>
              </w:rPr>
              <w:t>（亿元）</w:t>
            </w:r>
          </w:p>
        </w:tc>
        <w:tc>
          <w:tcPr>
            <w:tcW w:w="1276" w:type="dxa"/>
          </w:tcPr>
          <w:p w14:paraId="516EF2EB" w14:textId="77777777" w:rsidR="00503E88" w:rsidRDefault="00496B24">
            <w:pPr>
              <w:pStyle w:val="TableParagraph"/>
              <w:spacing w:before="87"/>
              <w:ind w:left="108"/>
              <w:rPr>
                <w:sz w:val="24"/>
              </w:rPr>
            </w:pPr>
            <w:r>
              <w:rPr>
                <w:sz w:val="24"/>
              </w:rPr>
              <w:t>营业收入</w:t>
            </w:r>
          </w:p>
          <w:p w14:paraId="2869FF68" w14:textId="77777777" w:rsidR="00503E88" w:rsidRDefault="00496B24">
            <w:pPr>
              <w:pStyle w:val="TableParagraph"/>
              <w:spacing w:before="52"/>
              <w:ind w:left="108"/>
              <w:rPr>
                <w:sz w:val="24"/>
              </w:rPr>
            </w:pPr>
            <w:r>
              <w:rPr>
                <w:sz w:val="24"/>
              </w:rPr>
              <w:t>（亿元）</w:t>
            </w:r>
          </w:p>
        </w:tc>
        <w:tc>
          <w:tcPr>
            <w:tcW w:w="1701" w:type="dxa"/>
          </w:tcPr>
          <w:p w14:paraId="0578110D" w14:textId="77777777" w:rsidR="00503E88" w:rsidRDefault="00503E88">
            <w:pPr>
              <w:pStyle w:val="TableParagraph"/>
              <w:spacing w:before="10"/>
              <w:rPr>
                <w:sz w:val="20"/>
              </w:rPr>
            </w:pPr>
          </w:p>
          <w:p w14:paraId="6A32D226" w14:textId="77777777" w:rsidR="00503E88" w:rsidRDefault="00496B24">
            <w:pPr>
              <w:pStyle w:val="TableParagraph"/>
              <w:ind w:left="106"/>
              <w:rPr>
                <w:sz w:val="24"/>
              </w:rPr>
            </w:pPr>
            <w:r>
              <w:rPr>
                <w:sz w:val="24"/>
              </w:rPr>
              <w:t>资产负债率</w:t>
            </w:r>
          </w:p>
        </w:tc>
      </w:tr>
      <w:tr w:rsidR="00503E88" w14:paraId="54D65655" w14:textId="77777777">
        <w:trPr>
          <w:trHeight w:val="2301"/>
        </w:trPr>
        <w:tc>
          <w:tcPr>
            <w:tcW w:w="1134" w:type="dxa"/>
          </w:tcPr>
          <w:p w14:paraId="47DC3C73" w14:textId="77777777" w:rsidR="00503E88" w:rsidRDefault="00503E88">
            <w:pPr>
              <w:pStyle w:val="TableParagraph"/>
              <w:rPr>
                <w:sz w:val="26"/>
              </w:rPr>
            </w:pPr>
          </w:p>
          <w:p w14:paraId="6707D0C1" w14:textId="77777777" w:rsidR="00503E88" w:rsidRDefault="00503E88">
            <w:pPr>
              <w:pStyle w:val="TableParagraph"/>
              <w:rPr>
                <w:sz w:val="26"/>
              </w:rPr>
            </w:pPr>
          </w:p>
          <w:p w14:paraId="31E0792B" w14:textId="77777777" w:rsidR="00503E88" w:rsidRDefault="00503E88">
            <w:pPr>
              <w:pStyle w:val="TableParagraph"/>
              <w:spacing w:before="5"/>
              <w:rPr>
                <w:sz w:val="27"/>
              </w:rPr>
            </w:pPr>
          </w:p>
          <w:p w14:paraId="0B954688" w14:textId="77777777" w:rsidR="00503E88" w:rsidRDefault="00496B24">
            <w:pPr>
              <w:pStyle w:val="TableParagraph"/>
              <w:spacing w:before="1"/>
              <w:ind w:left="106"/>
              <w:rPr>
                <w:sz w:val="24"/>
              </w:rPr>
            </w:pPr>
            <w:r>
              <w:rPr>
                <w:sz w:val="24"/>
              </w:rPr>
              <w:t>第一类</w:t>
            </w:r>
          </w:p>
        </w:tc>
        <w:tc>
          <w:tcPr>
            <w:tcW w:w="3261" w:type="dxa"/>
          </w:tcPr>
          <w:p w14:paraId="78BF960F" w14:textId="77777777" w:rsidR="00503E88" w:rsidRDefault="00496B24">
            <w:pPr>
              <w:pStyle w:val="TableParagraph"/>
              <w:spacing w:before="118" w:line="280" w:lineRule="auto"/>
              <w:ind w:left="108" w:right="-29"/>
              <w:rPr>
                <w:sz w:val="24"/>
              </w:rPr>
            </w:pPr>
            <w:r>
              <w:rPr>
                <w:sz w:val="24"/>
              </w:rPr>
              <w:t>农林渔牧业；批发和零售业；</w:t>
            </w:r>
            <w:r>
              <w:rPr>
                <w:spacing w:val="-117"/>
                <w:sz w:val="24"/>
              </w:rPr>
              <w:t xml:space="preserve"> </w:t>
            </w:r>
            <w:r>
              <w:rPr>
                <w:spacing w:val="-9"/>
                <w:sz w:val="24"/>
              </w:rPr>
              <w:t>住宿和餐饮业；租赁和商业服</w:t>
            </w:r>
            <w:r>
              <w:rPr>
                <w:sz w:val="24"/>
              </w:rPr>
              <w:t>务业；科学研究和技术服务</w:t>
            </w:r>
            <w:r>
              <w:rPr>
                <w:spacing w:val="1"/>
                <w:sz w:val="24"/>
              </w:rPr>
              <w:t xml:space="preserve"> </w:t>
            </w:r>
            <w:r>
              <w:rPr>
                <w:sz w:val="24"/>
              </w:rPr>
              <w:t>业；居民服务、修理和其他服</w:t>
            </w:r>
            <w:r>
              <w:rPr>
                <w:spacing w:val="-17"/>
                <w:sz w:val="24"/>
              </w:rPr>
              <w:t>务业；教育；卫生和社会工作；</w:t>
            </w:r>
            <w:r>
              <w:rPr>
                <w:spacing w:val="-117"/>
                <w:sz w:val="24"/>
              </w:rPr>
              <w:t xml:space="preserve"> </w:t>
            </w:r>
            <w:r>
              <w:rPr>
                <w:sz w:val="24"/>
              </w:rPr>
              <w:t>文化、体育和娱乐业。</w:t>
            </w:r>
          </w:p>
        </w:tc>
        <w:tc>
          <w:tcPr>
            <w:tcW w:w="1275" w:type="dxa"/>
          </w:tcPr>
          <w:p w14:paraId="68ECC8AA" w14:textId="77777777" w:rsidR="00503E88" w:rsidRDefault="00503E88">
            <w:pPr>
              <w:pStyle w:val="TableParagraph"/>
              <w:rPr>
                <w:sz w:val="26"/>
              </w:rPr>
            </w:pPr>
          </w:p>
          <w:p w14:paraId="5EDB0E7A" w14:textId="77777777" w:rsidR="00503E88" w:rsidRDefault="00503E88">
            <w:pPr>
              <w:pStyle w:val="TableParagraph"/>
              <w:rPr>
                <w:sz w:val="26"/>
              </w:rPr>
            </w:pPr>
          </w:p>
          <w:p w14:paraId="14C74DAB" w14:textId="77777777" w:rsidR="00503E88" w:rsidRDefault="00503E88">
            <w:pPr>
              <w:pStyle w:val="TableParagraph"/>
              <w:spacing w:before="5"/>
              <w:rPr>
                <w:sz w:val="27"/>
              </w:rPr>
            </w:pPr>
          </w:p>
          <w:p w14:paraId="3CFB4973" w14:textId="77777777" w:rsidR="00503E88" w:rsidRDefault="00496B24">
            <w:pPr>
              <w:pStyle w:val="TableParagraph"/>
              <w:spacing w:before="1"/>
              <w:ind w:left="108"/>
              <w:rPr>
                <w:rFonts w:ascii="Times New Roman" w:eastAsia="Times New Roman"/>
                <w:sz w:val="24"/>
              </w:rPr>
            </w:pPr>
            <w:r>
              <w:rPr>
                <w:sz w:val="24"/>
              </w:rPr>
              <w:t>＞</w:t>
            </w:r>
            <w:r>
              <w:rPr>
                <w:rFonts w:ascii="Times New Roman" w:eastAsia="Times New Roman"/>
                <w:sz w:val="24"/>
              </w:rPr>
              <w:t>1000</w:t>
            </w:r>
          </w:p>
        </w:tc>
        <w:tc>
          <w:tcPr>
            <w:tcW w:w="1276" w:type="dxa"/>
          </w:tcPr>
          <w:p w14:paraId="0F3DA0B0" w14:textId="77777777" w:rsidR="00503E88" w:rsidRDefault="00503E88">
            <w:pPr>
              <w:pStyle w:val="TableParagraph"/>
              <w:rPr>
                <w:sz w:val="26"/>
              </w:rPr>
            </w:pPr>
          </w:p>
          <w:p w14:paraId="4A4A4698" w14:textId="77777777" w:rsidR="00503E88" w:rsidRDefault="00503E88">
            <w:pPr>
              <w:pStyle w:val="TableParagraph"/>
              <w:rPr>
                <w:sz w:val="26"/>
              </w:rPr>
            </w:pPr>
          </w:p>
          <w:p w14:paraId="1E831A13" w14:textId="77777777" w:rsidR="00503E88" w:rsidRDefault="00503E88">
            <w:pPr>
              <w:pStyle w:val="TableParagraph"/>
              <w:spacing w:before="5"/>
              <w:rPr>
                <w:sz w:val="27"/>
              </w:rPr>
            </w:pPr>
          </w:p>
          <w:p w14:paraId="268C111D" w14:textId="77777777" w:rsidR="00503E88" w:rsidRDefault="00496B24">
            <w:pPr>
              <w:pStyle w:val="TableParagraph"/>
              <w:spacing w:before="1"/>
              <w:ind w:left="108"/>
              <w:rPr>
                <w:rFonts w:ascii="Times New Roman" w:eastAsia="Times New Roman"/>
                <w:sz w:val="24"/>
              </w:rPr>
            </w:pPr>
            <w:r>
              <w:rPr>
                <w:sz w:val="24"/>
              </w:rPr>
              <w:t>＞</w:t>
            </w:r>
            <w:r>
              <w:rPr>
                <w:rFonts w:ascii="Times New Roman" w:eastAsia="Times New Roman"/>
                <w:sz w:val="24"/>
              </w:rPr>
              <w:t>1000</w:t>
            </w:r>
          </w:p>
        </w:tc>
        <w:tc>
          <w:tcPr>
            <w:tcW w:w="1701" w:type="dxa"/>
            <w:vMerge w:val="restart"/>
          </w:tcPr>
          <w:p w14:paraId="66794094" w14:textId="77777777" w:rsidR="00503E88" w:rsidRDefault="00503E88">
            <w:pPr>
              <w:pStyle w:val="TableParagraph"/>
              <w:rPr>
                <w:sz w:val="26"/>
              </w:rPr>
            </w:pPr>
          </w:p>
          <w:p w14:paraId="54AF4CB3" w14:textId="77777777" w:rsidR="00503E88" w:rsidRDefault="00503E88">
            <w:pPr>
              <w:pStyle w:val="TableParagraph"/>
              <w:rPr>
                <w:sz w:val="26"/>
              </w:rPr>
            </w:pPr>
          </w:p>
          <w:p w14:paraId="641E4E2F" w14:textId="77777777" w:rsidR="00503E88" w:rsidRDefault="00503E88">
            <w:pPr>
              <w:pStyle w:val="TableParagraph"/>
              <w:rPr>
                <w:sz w:val="26"/>
              </w:rPr>
            </w:pPr>
          </w:p>
          <w:p w14:paraId="79AA5523" w14:textId="77777777" w:rsidR="00503E88" w:rsidRDefault="00503E88">
            <w:pPr>
              <w:pStyle w:val="TableParagraph"/>
              <w:spacing w:before="10"/>
              <w:rPr>
                <w:sz w:val="36"/>
              </w:rPr>
            </w:pPr>
          </w:p>
          <w:p w14:paraId="1691076B" w14:textId="77777777" w:rsidR="00503E88" w:rsidRDefault="00496B24">
            <w:pPr>
              <w:pStyle w:val="TableParagraph"/>
              <w:spacing w:before="1" w:line="280" w:lineRule="auto"/>
              <w:ind w:left="106" w:right="122"/>
              <w:jc w:val="both"/>
              <w:rPr>
                <w:rFonts w:ascii="Times New Roman" w:eastAsia="Times New Roman"/>
                <w:sz w:val="24"/>
              </w:rPr>
            </w:pPr>
            <w:r>
              <w:rPr>
                <w:sz w:val="24"/>
              </w:rPr>
              <w:t>不超过所在行业资产负债</w:t>
            </w:r>
            <w:proofErr w:type="gramStart"/>
            <w:r>
              <w:rPr>
                <w:sz w:val="24"/>
              </w:rPr>
              <w:t>率重点</w:t>
            </w:r>
            <w:proofErr w:type="gramEnd"/>
            <w:r>
              <w:rPr>
                <w:sz w:val="24"/>
              </w:rPr>
              <w:t>监管线；</w:t>
            </w:r>
            <w:r>
              <w:rPr>
                <w:spacing w:val="-118"/>
                <w:sz w:val="24"/>
              </w:rPr>
              <w:t xml:space="preserve"> </w:t>
            </w:r>
            <w:r>
              <w:rPr>
                <w:sz w:val="24"/>
              </w:rPr>
              <w:t>未明确重点</w:t>
            </w:r>
            <w:proofErr w:type="gramStart"/>
            <w:r>
              <w:rPr>
                <w:sz w:val="24"/>
              </w:rPr>
              <w:t>监管线</w:t>
            </w:r>
            <w:proofErr w:type="gramEnd"/>
            <w:r>
              <w:rPr>
                <w:sz w:val="24"/>
              </w:rPr>
              <w:t>的，原则上资产负债率</w:t>
            </w:r>
            <w:r>
              <w:rPr>
                <w:spacing w:val="-15"/>
                <w:sz w:val="24"/>
              </w:rPr>
              <w:t>不得超过</w:t>
            </w:r>
            <w:r>
              <w:rPr>
                <w:spacing w:val="-15"/>
                <w:sz w:val="24"/>
              </w:rPr>
              <w:t xml:space="preserve"> </w:t>
            </w:r>
            <w:r>
              <w:rPr>
                <w:rFonts w:ascii="Times New Roman" w:eastAsia="Times New Roman"/>
                <w:spacing w:val="-2"/>
                <w:sz w:val="24"/>
              </w:rPr>
              <w:t>85%</w:t>
            </w:r>
          </w:p>
        </w:tc>
      </w:tr>
      <w:tr w:rsidR="00503E88" w14:paraId="1D6F0AE2" w14:textId="77777777">
        <w:trPr>
          <w:trHeight w:val="1540"/>
        </w:trPr>
        <w:tc>
          <w:tcPr>
            <w:tcW w:w="1134" w:type="dxa"/>
          </w:tcPr>
          <w:p w14:paraId="3DBAD924" w14:textId="77777777" w:rsidR="00503E88" w:rsidRDefault="00503E88">
            <w:pPr>
              <w:pStyle w:val="TableParagraph"/>
              <w:rPr>
                <w:sz w:val="26"/>
              </w:rPr>
            </w:pPr>
          </w:p>
          <w:p w14:paraId="442900E3" w14:textId="77777777" w:rsidR="00503E88" w:rsidRDefault="00503E88">
            <w:pPr>
              <w:pStyle w:val="TableParagraph"/>
              <w:spacing w:before="11"/>
              <w:rPr>
                <w:sz w:val="23"/>
              </w:rPr>
            </w:pPr>
          </w:p>
          <w:p w14:paraId="7413D0E4" w14:textId="77777777" w:rsidR="00503E88" w:rsidRDefault="00496B24">
            <w:pPr>
              <w:pStyle w:val="TableParagraph"/>
              <w:ind w:left="106"/>
              <w:rPr>
                <w:sz w:val="24"/>
              </w:rPr>
            </w:pPr>
            <w:r>
              <w:rPr>
                <w:sz w:val="24"/>
              </w:rPr>
              <w:t>第二类</w:t>
            </w:r>
          </w:p>
        </w:tc>
        <w:tc>
          <w:tcPr>
            <w:tcW w:w="3261" w:type="dxa"/>
          </w:tcPr>
          <w:p w14:paraId="37419F28" w14:textId="77777777" w:rsidR="00503E88" w:rsidRDefault="00496B24">
            <w:pPr>
              <w:pStyle w:val="TableParagraph"/>
              <w:spacing w:before="46" w:line="360" w:lineRule="atLeast"/>
              <w:ind w:left="108" w:right="20"/>
              <w:jc w:val="both"/>
              <w:rPr>
                <w:sz w:val="24"/>
              </w:rPr>
            </w:pPr>
            <w:r>
              <w:rPr>
                <w:spacing w:val="-2"/>
                <w:sz w:val="24"/>
              </w:rPr>
              <w:t>交通运输、仓储和邮政业；水</w:t>
            </w:r>
            <w:r>
              <w:rPr>
                <w:spacing w:val="-1"/>
                <w:sz w:val="24"/>
              </w:rPr>
              <w:t>利、环境和公共设施管理业；</w:t>
            </w:r>
            <w:r>
              <w:rPr>
                <w:spacing w:val="-118"/>
                <w:sz w:val="24"/>
              </w:rPr>
              <w:t xml:space="preserve"> </w:t>
            </w:r>
            <w:r>
              <w:rPr>
                <w:spacing w:val="-2"/>
                <w:sz w:val="24"/>
              </w:rPr>
              <w:t>电力、热力、燃气及水生产和</w:t>
            </w:r>
            <w:r>
              <w:rPr>
                <w:sz w:val="24"/>
              </w:rPr>
              <w:t>供应业；综合。</w:t>
            </w:r>
          </w:p>
        </w:tc>
        <w:tc>
          <w:tcPr>
            <w:tcW w:w="1275" w:type="dxa"/>
          </w:tcPr>
          <w:p w14:paraId="6B83A3C3" w14:textId="77777777" w:rsidR="00503E88" w:rsidRDefault="00503E88">
            <w:pPr>
              <w:pStyle w:val="TableParagraph"/>
              <w:rPr>
                <w:sz w:val="26"/>
              </w:rPr>
            </w:pPr>
          </w:p>
          <w:p w14:paraId="342E4EB3" w14:textId="77777777" w:rsidR="00503E88" w:rsidRDefault="00503E88">
            <w:pPr>
              <w:pStyle w:val="TableParagraph"/>
              <w:spacing w:before="11"/>
              <w:rPr>
                <w:sz w:val="23"/>
              </w:rPr>
            </w:pPr>
          </w:p>
          <w:p w14:paraId="6F8E015D" w14:textId="77777777" w:rsidR="00503E88" w:rsidRDefault="00496B24">
            <w:pPr>
              <w:pStyle w:val="TableParagraph"/>
              <w:ind w:left="108"/>
              <w:rPr>
                <w:rFonts w:ascii="Times New Roman" w:eastAsia="Times New Roman"/>
                <w:sz w:val="24"/>
              </w:rPr>
            </w:pPr>
            <w:r>
              <w:rPr>
                <w:sz w:val="24"/>
              </w:rPr>
              <w:t>＞</w:t>
            </w:r>
            <w:r>
              <w:rPr>
                <w:rFonts w:ascii="Times New Roman" w:eastAsia="Times New Roman"/>
                <w:sz w:val="24"/>
              </w:rPr>
              <w:t>1000</w:t>
            </w:r>
          </w:p>
        </w:tc>
        <w:tc>
          <w:tcPr>
            <w:tcW w:w="1276" w:type="dxa"/>
          </w:tcPr>
          <w:p w14:paraId="35D752E8" w14:textId="77777777" w:rsidR="00503E88" w:rsidRDefault="00503E88">
            <w:pPr>
              <w:pStyle w:val="TableParagraph"/>
              <w:rPr>
                <w:sz w:val="26"/>
              </w:rPr>
            </w:pPr>
          </w:p>
          <w:p w14:paraId="20946D84" w14:textId="77777777" w:rsidR="00503E88" w:rsidRDefault="00503E88">
            <w:pPr>
              <w:pStyle w:val="TableParagraph"/>
              <w:spacing w:before="11"/>
              <w:rPr>
                <w:sz w:val="23"/>
              </w:rPr>
            </w:pPr>
          </w:p>
          <w:p w14:paraId="793A359E" w14:textId="77777777" w:rsidR="00503E88" w:rsidRDefault="00496B24">
            <w:pPr>
              <w:pStyle w:val="TableParagraph"/>
              <w:ind w:left="108"/>
              <w:rPr>
                <w:rFonts w:ascii="Times New Roman" w:eastAsia="Times New Roman"/>
                <w:sz w:val="24"/>
              </w:rPr>
            </w:pPr>
            <w:r>
              <w:rPr>
                <w:sz w:val="24"/>
              </w:rPr>
              <w:t>＞</w:t>
            </w:r>
            <w:r>
              <w:rPr>
                <w:rFonts w:ascii="Times New Roman" w:eastAsia="Times New Roman"/>
                <w:sz w:val="24"/>
              </w:rPr>
              <w:t>1000</w:t>
            </w:r>
          </w:p>
        </w:tc>
        <w:tc>
          <w:tcPr>
            <w:tcW w:w="1701" w:type="dxa"/>
            <w:vMerge/>
            <w:tcBorders>
              <w:top w:val="nil"/>
            </w:tcBorders>
          </w:tcPr>
          <w:p w14:paraId="4927F857" w14:textId="77777777" w:rsidR="00503E88" w:rsidRDefault="00503E88">
            <w:pPr>
              <w:rPr>
                <w:sz w:val="2"/>
                <w:szCs w:val="2"/>
              </w:rPr>
            </w:pPr>
          </w:p>
        </w:tc>
      </w:tr>
      <w:tr w:rsidR="00503E88" w14:paraId="2A447B92" w14:textId="77777777">
        <w:trPr>
          <w:trHeight w:val="840"/>
        </w:trPr>
        <w:tc>
          <w:tcPr>
            <w:tcW w:w="1134" w:type="dxa"/>
          </w:tcPr>
          <w:p w14:paraId="48013B72" w14:textId="77777777" w:rsidR="00503E88" w:rsidRDefault="00503E88">
            <w:pPr>
              <w:pStyle w:val="TableParagraph"/>
              <w:spacing w:before="7"/>
            </w:pPr>
          </w:p>
          <w:p w14:paraId="725258DB" w14:textId="77777777" w:rsidR="00503E88" w:rsidRDefault="00496B24">
            <w:pPr>
              <w:pStyle w:val="TableParagraph"/>
              <w:ind w:left="106"/>
              <w:rPr>
                <w:sz w:val="24"/>
              </w:rPr>
            </w:pPr>
            <w:r>
              <w:rPr>
                <w:sz w:val="24"/>
              </w:rPr>
              <w:t>第三类</w:t>
            </w:r>
          </w:p>
        </w:tc>
        <w:tc>
          <w:tcPr>
            <w:tcW w:w="3261" w:type="dxa"/>
          </w:tcPr>
          <w:p w14:paraId="5C27BE98" w14:textId="77777777" w:rsidR="00503E88" w:rsidRDefault="00496B24">
            <w:pPr>
              <w:pStyle w:val="TableParagraph"/>
              <w:spacing w:before="56" w:line="360" w:lineRule="atLeast"/>
              <w:ind w:left="108" w:right="20"/>
              <w:rPr>
                <w:sz w:val="24"/>
              </w:rPr>
            </w:pPr>
            <w:r>
              <w:rPr>
                <w:spacing w:val="-1"/>
                <w:sz w:val="24"/>
              </w:rPr>
              <w:t>采矿业；制造业；信息传输、</w:t>
            </w:r>
            <w:r>
              <w:rPr>
                <w:sz w:val="24"/>
              </w:rPr>
              <w:t>软件和信息技术服务业。</w:t>
            </w:r>
          </w:p>
        </w:tc>
        <w:tc>
          <w:tcPr>
            <w:tcW w:w="1275" w:type="dxa"/>
          </w:tcPr>
          <w:p w14:paraId="7BC7C2EE" w14:textId="77777777" w:rsidR="00503E88" w:rsidRDefault="00503E88">
            <w:pPr>
              <w:pStyle w:val="TableParagraph"/>
              <w:spacing w:before="7"/>
            </w:pPr>
          </w:p>
          <w:p w14:paraId="398E0C03" w14:textId="77777777" w:rsidR="00503E88" w:rsidRDefault="00496B24">
            <w:pPr>
              <w:pStyle w:val="TableParagraph"/>
              <w:ind w:left="108"/>
              <w:rPr>
                <w:rFonts w:ascii="Times New Roman" w:eastAsia="Times New Roman"/>
                <w:sz w:val="24"/>
              </w:rPr>
            </w:pPr>
            <w:r>
              <w:rPr>
                <w:sz w:val="24"/>
              </w:rPr>
              <w:t>＞</w:t>
            </w:r>
            <w:r>
              <w:rPr>
                <w:rFonts w:ascii="Times New Roman" w:eastAsia="Times New Roman"/>
                <w:sz w:val="24"/>
              </w:rPr>
              <w:t>1200</w:t>
            </w:r>
          </w:p>
        </w:tc>
        <w:tc>
          <w:tcPr>
            <w:tcW w:w="1276" w:type="dxa"/>
          </w:tcPr>
          <w:p w14:paraId="196FAA21" w14:textId="77777777" w:rsidR="00503E88" w:rsidRDefault="00503E88">
            <w:pPr>
              <w:pStyle w:val="TableParagraph"/>
              <w:spacing w:before="7"/>
            </w:pPr>
          </w:p>
          <w:p w14:paraId="6BDE8210" w14:textId="77777777" w:rsidR="00503E88" w:rsidRDefault="00496B24">
            <w:pPr>
              <w:pStyle w:val="TableParagraph"/>
              <w:ind w:left="108"/>
              <w:rPr>
                <w:rFonts w:ascii="Times New Roman" w:eastAsia="Times New Roman"/>
                <w:sz w:val="24"/>
              </w:rPr>
            </w:pPr>
            <w:r>
              <w:rPr>
                <w:sz w:val="24"/>
              </w:rPr>
              <w:t>＞</w:t>
            </w:r>
            <w:r>
              <w:rPr>
                <w:rFonts w:ascii="Times New Roman" w:eastAsia="Times New Roman"/>
                <w:sz w:val="24"/>
              </w:rPr>
              <w:t>800</w:t>
            </w:r>
          </w:p>
        </w:tc>
        <w:tc>
          <w:tcPr>
            <w:tcW w:w="1701" w:type="dxa"/>
            <w:vMerge/>
            <w:tcBorders>
              <w:top w:val="nil"/>
            </w:tcBorders>
          </w:tcPr>
          <w:p w14:paraId="523083FE" w14:textId="77777777" w:rsidR="00503E88" w:rsidRDefault="00503E88">
            <w:pPr>
              <w:rPr>
                <w:sz w:val="2"/>
                <w:szCs w:val="2"/>
              </w:rPr>
            </w:pPr>
          </w:p>
        </w:tc>
      </w:tr>
      <w:tr w:rsidR="00503E88" w14:paraId="117CB427" w14:textId="77777777">
        <w:trPr>
          <w:trHeight w:val="656"/>
        </w:trPr>
        <w:tc>
          <w:tcPr>
            <w:tcW w:w="1134" w:type="dxa"/>
          </w:tcPr>
          <w:p w14:paraId="204550C8" w14:textId="77777777" w:rsidR="00503E88" w:rsidRDefault="00496B24">
            <w:pPr>
              <w:pStyle w:val="TableParagraph"/>
              <w:spacing w:before="195"/>
              <w:ind w:left="106"/>
              <w:rPr>
                <w:sz w:val="24"/>
              </w:rPr>
            </w:pPr>
            <w:r>
              <w:rPr>
                <w:sz w:val="24"/>
              </w:rPr>
              <w:t>第四类</w:t>
            </w:r>
          </w:p>
        </w:tc>
        <w:tc>
          <w:tcPr>
            <w:tcW w:w="3261" w:type="dxa"/>
          </w:tcPr>
          <w:p w14:paraId="1E38B9BD" w14:textId="77777777" w:rsidR="00503E88" w:rsidRDefault="00496B24">
            <w:pPr>
              <w:pStyle w:val="TableParagraph"/>
              <w:spacing w:before="195"/>
              <w:ind w:left="108"/>
              <w:rPr>
                <w:sz w:val="24"/>
              </w:rPr>
            </w:pPr>
            <w:r>
              <w:rPr>
                <w:sz w:val="24"/>
              </w:rPr>
              <w:t>建筑业；房地产业。</w:t>
            </w:r>
          </w:p>
        </w:tc>
        <w:tc>
          <w:tcPr>
            <w:tcW w:w="1275" w:type="dxa"/>
          </w:tcPr>
          <w:p w14:paraId="013A3A2A" w14:textId="77777777" w:rsidR="00503E88" w:rsidRDefault="00496B24">
            <w:pPr>
              <w:pStyle w:val="TableParagraph"/>
              <w:spacing w:before="195"/>
              <w:ind w:left="108"/>
              <w:rPr>
                <w:rFonts w:ascii="Times New Roman" w:eastAsia="Times New Roman"/>
                <w:sz w:val="24"/>
              </w:rPr>
            </w:pPr>
            <w:r>
              <w:rPr>
                <w:sz w:val="24"/>
              </w:rPr>
              <w:t>＞</w:t>
            </w:r>
            <w:r>
              <w:rPr>
                <w:rFonts w:ascii="Times New Roman" w:eastAsia="Times New Roman"/>
                <w:sz w:val="24"/>
              </w:rPr>
              <w:t>1500</w:t>
            </w:r>
          </w:p>
        </w:tc>
        <w:tc>
          <w:tcPr>
            <w:tcW w:w="1276" w:type="dxa"/>
          </w:tcPr>
          <w:p w14:paraId="31D62112" w14:textId="77777777" w:rsidR="00503E88" w:rsidRDefault="00496B24">
            <w:pPr>
              <w:pStyle w:val="TableParagraph"/>
              <w:spacing w:before="195"/>
              <w:ind w:left="108"/>
              <w:rPr>
                <w:rFonts w:ascii="Times New Roman" w:eastAsia="Times New Roman"/>
                <w:sz w:val="24"/>
              </w:rPr>
            </w:pPr>
            <w:r>
              <w:rPr>
                <w:sz w:val="24"/>
              </w:rPr>
              <w:t>＞</w:t>
            </w:r>
            <w:r>
              <w:rPr>
                <w:rFonts w:ascii="Times New Roman" w:eastAsia="Times New Roman"/>
                <w:sz w:val="24"/>
              </w:rPr>
              <w:t>300</w:t>
            </w:r>
          </w:p>
        </w:tc>
        <w:tc>
          <w:tcPr>
            <w:tcW w:w="1701" w:type="dxa"/>
            <w:vMerge/>
            <w:tcBorders>
              <w:top w:val="nil"/>
            </w:tcBorders>
          </w:tcPr>
          <w:p w14:paraId="7EBF71C6" w14:textId="77777777" w:rsidR="00503E88" w:rsidRDefault="00503E88">
            <w:pPr>
              <w:rPr>
                <w:sz w:val="2"/>
                <w:szCs w:val="2"/>
              </w:rPr>
            </w:pPr>
          </w:p>
        </w:tc>
      </w:tr>
    </w:tbl>
    <w:p w14:paraId="7817F7BC" w14:textId="77777777" w:rsidR="00503E88" w:rsidRDefault="00503E88">
      <w:pPr>
        <w:pStyle w:val="a3"/>
        <w:spacing w:before="7"/>
        <w:ind w:left="0"/>
        <w:rPr>
          <w:sz w:val="5"/>
        </w:rPr>
      </w:pPr>
    </w:p>
    <w:p w14:paraId="4A87D0A5" w14:textId="77777777" w:rsidR="00503E88" w:rsidRDefault="00496B24">
      <w:pPr>
        <w:spacing w:before="72"/>
        <w:ind w:left="595"/>
        <w:rPr>
          <w:sz w:val="24"/>
        </w:rPr>
      </w:pPr>
      <w:r>
        <w:rPr>
          <w:sz w:val="24"/>
        </w:rPr>
        <w:t>注：</w:t>
      </w:r>
    </w:p>
    <w:p w14:paraId="575C32C4" w14:textId="77777777" w:rsidR="00503E88" w:rsidRDefault="00496B24">
      <w:pPr>
        <w:pStyle w:val="a4"/>
        <w:numPr>
          <w:ilvl w:val="0"/>
          <w:numId w:val="1"/>
        </w:numPr>
        <w:tabs>
          <w:tab w:val="left" w:pos="778"/>
        </w:tabs>
        <w:spacing w:before="173" w:line="374" w:lineRule="auto"/>
        <w:ind w:right="254" w:firstLine="480"/>
        <w:jc w:val="both"/>
        <w:rPr>
          <w:sz w:val="24"/>
        </w:rPr>
      </w:pPr>
      <w:r>
        <w:rPr>
          <w:sz w:val="24"/>
        </w:rPr>
        <w:t>资产总额、营业收入可按照企业最近一年经审计财务数据或最近三年经审计财务数据的平均数计算。申报企业原则上应同时满足该两项指标，其中，第一类企业满足资产总额或营业收入指标其一即可。</w:t>
      </w:r>
    </w:p>
    <w:p w14:paraId="07146777" w14:textId="77777777" w:rsidR="00503E88" w:rsidRDefault="00496B24">
      <w:pPr>
        <w:pStyle w:val="a4"/>
        <w:numPr>
          <w:ilvl w:val="0"/>
          <w:numId w:val="1"/>
        </w:numPr>
        <w:tabs>
          <w:tab w:val="left" w:pos="778"/>
        </w:tabs>
        <w:spacing w:before="1" w:line="374" w:lineRule="auto"/>
        <w:ind w:right="162" w:firstLine="480"/>
        <w:rPr>
          <w:sz w:val="24"/>
        </w:rPr>
      </w:pPr>
      <w:r>
        <w:rPr>
          <w:sz w:val="24"/>
        </w:rPr>
        <w:t>资产负债率按照企业最近一年经审计财务数据计算。资产负债</w:t>
      </w:r>
      <w:proofErr w:type="gramStart"/>
      <w:r>
        <w:rPr>
          <w:sz w:val="24"/>
        </w:rPr>
        <w:t>率重点监管线</w:t>
      </w:r>
      <w:r>
        <w:rPr>
          <w:spacing w:val="-2"/>
          <w:sz w:val="24"/>
        </w:rPr>
        <w:t>按照</w:t>
      </w:r>
      <w:proofErr w:type="gramEnd"/>
      <w:r>
        <w:rPr>
          <w:spacing w:val="-2"/>
          <w:sz w:val="24"/>
        </w:rPr>
        <w:t>《中共中央办公厅</w:t>
      </w:r>
      <w:r>
        <w:rPr>
          <w:spacing w:val="-2"/>
          <w:sz w:val="24"/>
        </w:rPr>
        <w:t xml:space="preserve"> </w:t>
      </w:r>
      <w:r>
        <w:rPr>
          <w:spacing w:val="-2"/>
          <w:sz w:val="24"/>
        </w:rPr>
        <w:t>国务院办公厅关于加强国有企业资产负债约束的指导意见》</w:t>
      </w:r>
      <w:r>
        <w:rPr>
          <w:sz w:val="24"/>
        </w:rPr>
        <w:t>要求，由相关部门确定。</w:t>
      </w:r>
    </w:p>
    <w:p w14:paraId="34D2070A" w14:textId="77777777" w:rsidR="00503E88" w:rsidRDefault="00496B24">
      <w:pPr>
        <w:pStyle w:val="a4"/>
        <w:numPr>
          <w:ilvl w:val="0"/>
          <w:numId w:val="1"/>
        </w:numPr>
        <w:tabs>
          <w:tab w:val="left" w:pos="778"/>
        </w:tabs>
        <w:spacing w:before="1" w:line="374" w:lineRule="auto"/>
        <w:ind w:right="254" w:firstLine="480"/>
        <w:rPr>
          <w:sz w:val="24"/>
        </w:rPr>
      </w:pPr>
      <w:r>
        <w:rPr>
          <w:sz w:val="24"/>
        </w:rPr>
        <w:t>区域领先的优质企业，由各省、自治区、直辖市或计划单列市发展改革部门根据区域经济发展情况并参照以上标准从严择优推荐。</w:t>
      </w:r>
    </w:p>
    <w:p w14:paraId="7864D70E" w14:textId="77777777" w:rsidR="00503E88" w:rsidRDefault="00496B24">
      <w:pPr>
        <w:pStyle w:val="a4"/>
        <w:numPr>
          <w:ilvl w:val="0"/>
          <w:numId w:val="1"/>
        </w:numPr>
        <w:tabs>
          <w:tab w:val="left" w:pos="777"/>
        </w:tabs>
        <w:ind w:left="776" w:hanging="182"/>
        <w:rPr>
          <w:sz w:val="24"/>
        </w:rPr>
      </w:pPr>
      <w:r>
        <w:rPr>
          <w:sz w:val="24"/>
        </w:rPr>
        <w:t>国家结合经济社会发展，适时调整优质企业经营财务指标参考标准。</w:t>
      </w:r>
    </w:p>
    <w:sectPr w:rsidR="00503E88">
      <w:type w:val="continuous"/>
      <w:pgSz w:w="11900" w:h="16840"/>
      <w:pgMar w:top="1600" w:right="1360" w:bottom="1440" w:left="1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B5303" w14:textId="77777777" w:rsidR="00496B24" w:rsidRDefault="00496B24">
      <w:r>
        <w:separator/>
      </w:r>
    </w:p>
  </w:endnote>
  <w:endnote w:type="continuationSeparator" w:id="0">
    <w:p w14:paraId="3799E9EE" w14:textId="77777777" w:rsidR="00496B24" w:rsidRDefault="0049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2F53" w14:textId="77777777" w:rsidR="00503E88" w:rsidRDefault="00496B24">
    <w:pPr>
      <w:pStyle w:val="a3"/>
      <w:spacing w:line="14" w:lineRule="auto"/>
      <w:ind w:left="0"/>
      <w:rPr>
        <w:sz w:val="20"/>
      </w:rPr>
    </w:pPr>
    <w:r>
      <w:pict w14:anchorId="279AC036">
        <v:shapetype id="_x0000_t202" coordsize="21600,21600" o:spt="202" path="m,l,21600r21600,l21600,xe">
          <v:stroke joinstyle="miter"/>
          <v:path gradientshapeok="t" o:connecttype="rect"/>
        </v:shapetype>
        <v:shape id="_x0000_s2049" type="#_x0000_t202" style="position:absolute;margin-left:292.2pt;margin-top:768.05pt;width:10.5pt;height:12pt;z-index:-251658752;mso-position-horizontal-relative:page;mso-position-vertical-relative:page" filled="f" stroked="f">
          <v:textbox inset="0,0,0,0">
            <w:txbxContent>
              <w:p w14:paraId="76CC919C" w14:textId="77777777" w:rsidR="00503E88" w:rsidRDefault="00496B24">
                <w:pPr>
                  <w:spacing w:before="12"/>
                  <w:ind w:left="60"/>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9E143" w14:textId="77777777" w:rsidR="00496B24" w:rsidRDefault="00496B24">
      <w:r>
        <w:separator/>
      </w:r>
    </w:p>
  </w:footnote>
  <w:footnote w:type="continuationSeparator" w:id="0">
    <w:p w14:paraId="5E6FAFA6" w14:textId="77777777" w:rsidR="00496B24" w:rsidRDefault="00496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114C1"/>
    <w:multiLevelType w:val="hybridMultilevel"/>
    <w:tmpl w:val="C5F26E20"/>
    <w:lvl w:ilvl="0" w:tplc="2CCE2946">
      <w:start w:val="1"/>
      <w:numFmt w:val="decimal"/>
      <w:lvlText w:val="%1."/>
      <w:lvlJc w:val="left"/>
      <w:pPr>
        <w:ind w:left="942" w:hanging="228"/>
        <w:jc w:val="left"/>
      </w:pPr>
      <w:rPr>
        <w:rFonts w:ascii="Times New Roman" w:eastAsia="Times New Roman" w:hAnsi="Times New Roman" w:cs="Times New Roman" w:hint="default"/>
        <w:spacing w:val="-1"/>
        <w:w w:val="100"/>
        <w:sz w:val="28"/>
        <w:szCs w:val="28"/>
        <w:lang w:val="en-US" w:eastAsia="zh-CN" w:bidi="ar-SA"/>
      </w:rPr>
    </w:lvl>
    <w:lvl w:ilvl="1" w:tplc="CAA25C68">
      <w:numFmt w:val="bullet"/>
      <w:lvlText w:val="•"/>
      <w:lvlJc w:val="left"/>
      <w:pPr>
        <w:ind w:left="1750" w:hanging="228"/>
      </w:pPr>
      <w:rPr>
        <w:rFonts w:hint="default"/>
        <w:lang w:val="en-US" w:eastAsia="zh-CN" w:bidi="ar-SA"/>
      </w:rPr>
    </w:lvl>
    <w:lvl w:ilvl="2" w:tplc="7018B3CA">
      <w:numFmt w:val="bullet"/>
      <w:lvlText w:val="•"/>
      <w:lvlJc w:val="left"/>
      <w:pPr>
        <w:ind w:left="2560" w:hanging="228"/>
      </w:pPr>
      <w:rPr>
        <w:rFonts w:hint="default"/>
        <w:lang w:val="en-US" w:eastAsia="zh-CN" w:bidi="ar-SA"/>
      </w:rPr>
    </w:lvl>
    <w:lvl w:ilvl="3" w:tplc="ECBA2608">
      <w:numFmt w:val="bullet"/>
      <w:lvlText w:val="•"/>
      <w:lvlJc w:val="left"/>
      <w:pPr>
        <w:ind w:left="3370" w:hanging="228"/>
      </w:pPr>
      <w:rPr>
        <w:rFonts w:hint="default"/>
        <w:lang w:val="en-US" w:eastAsia="zh-CN" w:bidi="ar-SA"/>
      </w:rPr>
    </w:lvl>
    <w:lvl w:ilvl="4" w:tplc="42E25508">
      <w:numFmt w:val="bullet"/>
      <w:lvlText w:val="•"/>
      <w:lvlJc w:val="left"/>
      <w:pPr>
        <w:ind w:left="4180" w:hanging="228"/>
      </w:pPr>
      <w:rPr>
        <w:rFonts w:hint="default"/>
        <w:lang w:val="en-US" w:eastAsia="zh-CN" w:bidi="ar-SA"/>
      </w:rPr>
    </w:lvl>
    <w:lvl w:ilvl="5" w:tplc="70E09D10">
      <w:numFmt w:val="bullet"/>
      <w:lvlText w:val="•"/>
      <w:lvlJc w:val="left"/>
      <w:pPr>
        <w:ind w:left="4990" w:hanging="228"/>
      </w:pPr>
      <w:rPr>
        <w:rFonts w:hint="default"/>
        <w:lang w:val="en-US" w:eastAsia="zh-CN" w:bidi="ar-SA"/>
      </w:rPr>
    </w:lvl>
    <w:lvl w:ilvl="6" w:tplc="D9E48524">
      <w:numFmt w:val="bullet"/>
      <w:lvlText w:val="•"/>
      <w:lvlJc w:val="left"/>
      <w:pPr>
        <w:ind w:left="5800" w:hanging="228"/>
      </w:pPr>
      <w:rPr>
        <w:rFonts w:hint="default"/>
        <w:lang w:val="en-US" w:eastAsia="zh-CN" w:bidi="ar-SA"/>
      </w:rPr>
    </w:lvl>
    <w:lvl w:ilvl="7" w:tplc="5442C6C8">
      <w:numFmt w:val="bullet"/>
      <w:lvlText w:val="•"/>
      <w:lvlJc w:val="left"/>
      <w:pPr>
        <w:ind w:left="6610" w:hanging="228"/>
      </w:pPr>
      <w:rPr>
        <w:rFonts w:hint="default"/>
        <w:lang w:val="en-US" w:eastAsia="zh-CN" w:bidi="ar-SA"/>
      </w:rPr>
    </w:lvl>
    <w:lvl w:ilvl="8" w:tplc="68841A4A">
      <w:numFmt w:val="bullet"/>
      <w:lvlText w:val="•"/>
      <w:lvlJc w:val="left"/>
      <w:pPr>
        <w:ind w:left="7420" w:hanging="228"/>
      </w:pPr>
      <w:rPr>
        <w:rFonts w:hint="default"/>
        <w:lang w:val="en-US" w:eastAsia="zh-CN" w:bidi="ar-SA"/>
      </w:rPr>
    </w:lvl>
  </w:abstractNum>
  <w:abstractNum w:abstractNumId="1" w15:restartNumberingAfterBreak="0">
    <w:nsid w:val="47997FEA"/>
    <w:multiLevelType w:val="hybridMultilevel"/>
    <w:tmpl w:val="FA400B50"/>
    <w:lvl w:ilvl="0" w:tplc="76EE0E1C">
      <w:start w:val="1"/>
      <w:numFmt w:val="decimal"/>
      <w:lvlText w:val="%1."/>
      <w:lvlJc w:val="left"/>
      <w:pPr>
        <w:ind w:left="115" w:hanging="183"/>
        <w:jc w:val="left"/>
      </w:pPr>
      <w:rPr>
        <w:rFonts w:ascii="Times New Roman" w:eastAsia="Times New Roman" w:hAnsi="Times New Roman" w:cs="Times New Roman" w:hint="default"/>
        <w:w w:val="100"/>
        <w:sz w:val="22"/>
        <w:szCs w:val="22"/>
        <w:lang w:val="en-US" w:eastAsia="zh-CN" w:bidi="ar-SA"/>
      </w:rPr>
    </w:lvl>
    <w:lvl w:ilvl="1" w:tplc="AD4493EA">
      <w:numFmt w:val="bullet"/>
      <w:lvlText w:val="•"/>
      <w:lvlJc w:val="left"/>
      <w:pPr>
        <w:ind w:left="1012" w:hanging="183"/>
      </w:pPr>
      <w:rPr>
        <w:rFonts w:hint="default"/>
        <w:lang w:val="en-US" w:eastAsia="zh-CN" w:bidi="ar-SA"/>
      </w:rPr>
    </w:lvl>
    <w:lvl w:ilvl="2" w:tplc="DCD2DD3E">
      <w:numFmt w:val="bullet"/>
      <w:lvlText w:val="•"/>
      <w:lvlJc w:val="left"/>
      <w:pPr>
        <w:ind w:left="1904" w:hanging="183"/>
      </w:pPr>
      <w:rPr>
        <w:rFonts w:hint="default"/>
        <w:lang w:val="en-US" w:eastAsia="zh-CN" w:bidi="ar-SA"/>
      </w:rPr>
    </w:lvl>
    <w:lvl w:ilvl="3" w:tplc="0D5CFB78">
      <w:numFmt w:val="bullet"/>
      <w:lvlText w:val="•"/>
      <w:lvlJc w:val="left"/>
      <w:pPr>
        <w:ind w:left="2796" w:hanging="183"/>
      </w:pPr>
      <w:rPr>
        <w:rFonts w:hint="default"/>
        <w:lang w:val="en-US" w:eastAsia="zh-CN" w:bidi="ar-SA"/>
      </w:rPr>
    </w:lvl>
    <w:lvl w:ilvl="4" w:tplc="E53CB78C">
      <w:numFmt w:val="bullet"/>
      <w:lvlText w:val="•"/>
      <w:lvlJc w:val="left"/>
      <w:pPr>
        <w:ind w:left="3688" w:hanging="183"/>
      </w:pPr>
      <w:rPr>
        <w:rFonts w:hint="default"/>
        <w:lang w:val="en-US" w:eastAsia="zh-CN" w:bidi="ar-SA"/>
      </w:rPr>
    </w:lvl>
    <w:lvl w:ilvl="5" w:tplc="14F45360">
      <w:numFmt w:val="bullet"/>
      <w:lvlText w:val="•"/>
      <w:lvlJc w:val="left"/>
      <w:pPr>
        <w:ind w:left="4580" w:hanging="183"/>
      </w:pPr>
      <w:rPr>
        <w:rFonts w:hint="default"/>
        <w:lang w:val="en-US" w:eastAsia="zh-CN" w:bidi="ar-SA"/>
      </w:rPr>
    </w:lvl>
    <w:lvl w:ilvl="6" w:tplc="FF7AA634">
      <w:numFmt w:val="bullet"/>
      <w:lvlText w:val="•"/>
      <w:lvlJc w:val="left"/>
      <w:pPr>
        <w:ind w:left="5472" w:hanging="183"/>
      </w:pPr>
      <w:rPr>
        <w:rFonts w:hint="default"/>
        <w:lang w:val="en-US" w:eastAsia="zh-CN" w:bidi="ar-SA"/>
      </w:rPr>
    </w:lvl>
    <w:lvl w:ilvl="7" w:tplc="9AA05D4C">
      <w:numFmt w:val="bullet"/>
      <w:lvlText w:val="•"/>
      <w:lvlJc w:val="left"/>
      <w:pPr>
        <w:ind w:left="6364" w:hanging="183"/>
      </w:pPr>
      <w:rPr>
        <w:rFonts w:hint="default"/>
        <w:lang w:val="en-US" w:eastAsia="zh-CN" w:bidi="ar-SA"/>
      </w:rPr>
    </w:lvl>
    <w:lvl w:ilvl="8" w:tplc="A98AB42A">
      <w:numFmt w:val="bullet"/>
      <w:lvlText w:val="•"/>
      <w:lvlJc w:val="left"/>
      <w:pPr>
        <w:ind w:left="7256" w:hanging="183"/>
      </w:pPr>
      <w:rPr>
        <w:rFonts w:hint="default"/>
        <w:lang w:val="en-US" w:eastAsia="zh-CN" w:bidi="ar-SA"/>
      </w:rPr>
    </w:lvl>
  </w:abstractNum>
  <w:abstractNum w:abstractNumId="2" w15:restartNumberingAfterBreak="0">
    <w:nsid w:val="7256203D"/>
    <w:multiLevelType w:val="hybridMultilevel"/>
    <w:tmpl w:val="DCAC5060"/>
    <w:lvl w:ilvl="0" w:tplc="06E4A440">
      <w:start w:val="1"/>
      <w:numFmt w:val="decimal"/>
      <w:lvlText w:val="%1."/>
      <w:lvlJc w:val="left"/>
      <w:pPr>
        <w:ind w:left="115" w:hanging="228"/>
        <w:jc w:val="left"/>
      </w:pPr>
      <w:rPr>
        <w:rFonts w:ascii="Times New Roman" w:eastAsia="Times New Roman" w:hAnsi="Times New Roman" w:cs="Times New Roman" w:hint="default"/>
        <w:spacing w:val="-1"/>
        <w:w w:val="100"/>
        <w:sz w:val="28"/>
        <w:szCs w:val="28"/>
        <w:lang w:val="en-US" w:eastAsia="zh-CN" w:bidi="ar-SA"/>
      </w:rPr>
    </w:lvl>
    <w:lvl w:ilvl="1" w:tplc="D0165F3C">
      <w:numFmt w:val="bullet"/>
      <w:lvlText w:val="•"/>
      <w:lvlJc w:val="left"/>
      <w:pPr>
        <w:ind w:left="1012" w:hanging="228"/>
      </w:pPr>
      <w:rPr>
        <w:rFonts w:hint="default"/>
        <w:lang w:val="en-US" w:eastAsia="zh-CN" w:bidi="ar-SA"/>
      </w:rPr>
    </w:lvl>
    <w:lvl w:ilvl="2" w:tplc="F9A018FE">
      <w:numFmt w:val="bullet"/>
      <w:lvlText w:val="•"/>
      <w:lvlJc w:val="left"/>
      <w:pPr>
        <w:ind w:left="1904" w:hanging="228"/>
      </w:pPr>
      <w:rPr>
        <w:rFonts w:hint="default"/>
        <w:lang w:val="en-US" w:eastAsia="zh-CN" w:bidi="ar-SA"/>
      </w:rPr>
    </w:lvl>
    <w:lvl w:ilvl="3" w:tplc="140EDC38">
      <w:numFmt w:val="bullet"/>
      <w:lvlText w:val="•"/>
      <w:lvlJc w:val="left"/>
      <w:pPr>
        <w:ind w:left="2796" w:hanging="228"/>
      </w:pPr>
      <w:rPr>
        <w:rFonts w:hint="default"/>
        <w:lang w:val="en-US" w:eastAsia="zh-CN" w:bidi="ar-SA"/>
      </w:rPr>
    </w:lvl>
    <w:lvl w:ilvl="4" w:tplc="130E80A4">
      <w:numFmt w:val="bullet"/>
      <w:lvlText w:val="•"/>
      <w:lvlJc w:val="left"/>
      <w:pPr>
        <w:ind w:left="3688" w:hanging="228"/>
      </w:pPr>
      <w:rPr>
        <w:rFonts w:hint="default"/>
        <w:lang w:val="en-US" w:eastAsia="zh-CN" w:bidi="ar-SA"/>
      </w:rPr>
    </w:lvl>
    <w:lvl w:ilvl="5" w:tplc="814260BA">
      <w:numFmt w:val="bullet"/>
      <w:lvlText w:val="•"/>
      <w:lvlJc w:val="left"/>
      <w:pPr>
        <w:ind w:left="4580" w:hanging="228"/>
      </w:pPr>
      <w:rPr>
        <w:rFonts w:hint="default"/>
        <w:lang w:val="en-US" w:eastAsia="zh-CN" w:bidi="ar-SA"/>
      </w:rPr>
    </w:lvl>
    <w:lvl w:ilvl="6" w:tplc="393898FC">
      <w:numFmt w:val="bullet"/>
      <w:lvlText w:val="•"/>
      <w:lvlJc w:val="left"/>
      <w:pPr>
        <w:ind w:left="5472" w:hanging="228"/>
      </w:pPr>
      <w:rPr>
        <w:rFonts w:hint="default"/>
        <w:lang w:val="en-US" w:eastAsia="zh-CN" w:bidi="ar-SA"/>
      </w:rPr>
    </w:lvl>
    <w:lvl w:ilvl="7" w:tplc="882ED8E8">
      <w:numFmt w:val="bullet"/>
      <w:lvlText w:val="•"/>
      <w:lvlJc w:val="left"/>
      <w:pPr>
        <w:ind w:left="6364" w:hanging="228"/>
      </w:pPr>
      <w:rPr>
        <w:rFonts w:hint="default"/>
        <w:lang w:val="en-US" w:eastAsia="zh-CN" w:bidi="ar-SA"/>
      </w:rPr>
    </w:lvl>
    <w:lvl w:ilvl="8" w:tplc="DFD8189C">
      <w:numFmt w:val="bullet"/>
      <w:lvlText w:val="•"/>
      <w:lvlJc w:val="left"/>
      <w:pPr>
        <w:ind w:left="7256" w:hanging="228"/>
      </w:pPr>
      <w:rPr>
        <w:rFonts w:hint="default"/>
        <w:lang w:val="en-US" w:eastAsia="zh-CN"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03E88"/>
    <w:rsid w:val="00496B24"/>
    <w:rsid w:val="00503E88"/>
    <w:rsid w:val="00EB4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382049"/>
  <w15:docId w15:val="{D50FDD55-844B-4FA6-AB04-9F0A9E72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lang w:eastAsia="zh-CN"/>
    </w:rPr>
  </w:style>
  <w:style w:type="paragraph" w:styleId="1">
    <w:name w:val="heading 1"/>
    <w:basedOn w:val="a"/>
    <w:uiPriority w:val="9"/>
    <w:qFormat/>
    <w:pPr>
      <w:spacing w:before="1"/>
      <w:ind w:left="115"/>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5"/>
    </w:pPr>
    <w:rPr>
      <w:sz w:val="30"/>
      <w:szCs w:val="30"/>
    </w:rPr>
  </w:style>
  <w:style w:type="paragraph" w:styleId="a4">
    <w:name w:val="List Paragraph"/>
    <w:basedOn w:val="a"/>
    <w:uiPriority w:val="1"/>
    <w:qFormat/>
    <w:pPr>
      <w:ind w:left="115" w:firstLine="60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2023-10-12T06:26:00Z</dcterms:created>
  <dcterms:modified xsi:type="dcterms:W3CDTF">2023-10-12T06:28:00Z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WPS 文字</vt:lpwstr>
  </property>
  <property fmtid="{D5CDD505-2E9C-101B-9397-08002B2CF9AE}" pid="4" name="LastSaved">
    <vt:filetime>2023-10-12T00:00:00Z</vt:filetime>
  </property>
</Properties>
</file>